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B1A1A" w14:textId="4DF52705" w:rsidR="004C530A" w:rsidRDefault="004C530A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DB5587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0E6C0E9" wp14:editId="3F83792B">
            <wp:simplePos x="0" y="0"/>
            <wp:positionH relativeFrom="page">
              <wp:posOffset>5821045</wp:posOffset>
            </wp:positionH>
            <wp:positionV relativeFrom="page">
              <wp:posOffset>305435</wp:posOffset>
            </wp:positionV>
            <wp:extent cx="1135237" cy="457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37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C4E40" w14:textId="77777777" w:rsidR="004C530A" w:rsidRDefault="004C530A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14:paraId="4609FF7B" w14:textId="2B92CEC8" w:rsidR="00ED5CFC" w:rsidRDefault="00053E3C" w:rsidP="00B60238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</w:t>
      </w:r>
      <w:r w:rsidR="009614FF">
        <w:rPr>
          <w:rFonts w:ascii="Arial" w:hAnsi="Arial" w:cs="Arial"/>
          <w:b/>
          <w:sz w:val="24"/>
          <w:szCs w:val="24"/>
        </w:rPr>
        <w:t>s confirm</w:t>
      </w:r>
      <w:r>
        <w:rPr>
          <w:rFonts w:ascii="Arial" w:hAnsi="Arial" w:cs="Arial"/>
          <w:b/>
          <w:sz w:val="24"/>
          <w:szCs w:val="24"/>
        </w:rPr>
        <w:t xml:space="preserve"> that </w:t>
      </w:r>
      <w:r w:rsidR="00CF6EC4">
        <w:rPr>
          <w:rFonts w:ascii="Arial" w:hAnsi="Arial" w:cs="Arial"/>
          <w:b/>
          <w:sz w:val="24"/>
          <w:szCs w:val="24"/>
        </w:rPr>
        <w:t>Oxfo</w:t>
      </w:r>
      <w:r w:rsidR="00E77907">
        <w:rPr>
          <w:rFonts w:ascii="Arial" w:hAnsi="Arial" w:cs="Arial"/>
          <w:b/>
          <w:sz w:val="24"/>
          <w:szCs w:val="24"/>
        </w:rPr>
        <w:t xml:space="preserve">rd AstraZeneca vaccine </w:t>
      </w:r>
      <w:r>
        <w:rPr>
          <w:rFonts w:ascii="Arial" w:hAnsi="Arial" w:cs="Arial"/>
          <w:b/>
          <w:sz w:val="24"/>
          <w:szCs w:val="24"/>
        </w:rPr>
        <w:t xml:space="preserve">does not cause blood clots </w:t>
      </w:r>
    </w:p>
    <w:p w14:paraId="6B79DBFD" w14:textId="77777777" w:rsidR="00CB523B" w:rsidRDefault="00CB523B" w:rsidP="00B6023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BDF2D24" w14:textId="45D02CA7" w:rsidR="00842EC0" w:rsidRDefault="009614FF" w:rsidP="00842EC0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D1CCE">
        <w:rPr>
          <w:rFonts w:ascii="Arial" w:hAnsi="Arial" w:cs="Arial"/>
          <w:sz w:val="24"/>
          <w:szCs w:val="24"/>
        </w:rPr>
        <w:t>igorous r</w:t>
      </w:r>
      <w:r>
        <w:rPr>
          <w:rFonts w:ascii="Arial" w:hAnsi="Arial" w:cs="Arial"/>
          <w:sz w:val="24"/>
          <w:szCs w:val="24"/>
        </w:rPr>
        <w:t xml:space="preserve">eviews from both the UK and </w:t>
      </w:r>
      <w:r w:rsidR="00053E3C">
        <w:rPr>
          <w:rFonts w:ascii="Arial" w:hAnsi="Arial" w:cs="Arial"/>
          <w:sz w:val="24"/>
          <w:szCs w:val="24"/>
        </w:rPr>
        <w:t xml:space="preserve">European </w:t>
      </w:r>
      <w:r>
        <w:rPr>
          <w:rFonts w:ascii="Arial" w:hAnsi="Arial" w:cs="Arial"/>
          <w:sz w:val="24"/>
          <w:szCs w:val="24"/>
        </w:rPr>
        <w:t xml:space="preserve">independent regulators </w:t>
      </w:r>
      <w:r w:rsidR="00053E3C">
        <w:rPr>
          <w:rFonts w:ascii="Arial" w:hAnsi="Arial" w:cs="Arial"/>
          <w:sz w:val="24"/>
          <w:szCs w:val="24"/>
        </w:rPr>
        <w:t xml:space="preserve">into the Oxford AstraZeneca vaccine has confirmed that it does not increase the risk of people developing blood clots. </w:t>
      </w:r>
    </w:p>
    <w:p w14:paraId="44836280" w14:textId="7B0339DF" w:rsidR="009614FF" w:rsidRPr="006D1CCE" w:rsidRDefault="009614FF" w:rsidP="006D1CCE">
      <w:pPr>
        <w:rPr>
          <w:rFonts w:ascii="Times" w:eastAsia="Times New Roman" w:hAnsi="Times" w:cs="Times New Roman"/>
          <w:sz w:val="20"/>
          <w:szCs w:val="20"/>
        </w:rPr>
      </w:pPr>
    </w:p>
    <w:p w14:paraId="6DB8C6B6" w14:textId="7595C505" w:rsidR="00CB523B" w:rsidRPr="00CB523B" w:rsidRDefault="009614FF" w:rsidP="00B6023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</w:t>
      </w:r>
      <w:r w:rsidR="00053E3C">
        <w:rPr>
          <w:rFonts w:ascii="Arial" w:hAnsi="Arial" w:cs="Arial"/>
          <w:sz w:val="24"/>
          <w:szCs w:val="24"/>
        </w:rPr>
        <w:t xml:space="preserve"> </w:t>
      </w:r>
      <w:r w:rsidR="00842EC0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>s were</w:t>
      </w:r>
      <w:r w:rsidR="00842EC0">
        <w:rPr>
          <w:rFonts w:ascii="Arial" w:hAnsi="Arial" w:cs="Arial"/>
          <w:sz w:val="24"/>
          <w:szCs w:val="24"/>
        </w:rPr>
        <w:t xml:space="preserve"> carried out by </w:t>
      </w:r>
      <w:hyperlink r:id="rId6" w:history="1">
        <w:r w:rsidRPr="005E021A">
          <w:rPr>
            <w:rStyle w:val="Hyperlink"/>
            <w:rFonts w:ascii="Arial" w:hAnsi="Arial" w:cs="Arial"/>
            <w:sz w:val="24"/>
            <w:szCs w:val="24"/>
          </w:rPr>
          <w:t xml:space="preserve">Medicines </w:t>
        </w:r>
        <w:r w:rsidR="00DF4D17" w:rsidRPr="005E021A">
          <w:rPr>
            <w:rStyle w:val="Hyperlink"/>
            <w:rFonts w:ascii="Arial" w:hAnsi="Arial" w:cs="Arial"/>
            <w:sz w:val="24"/>
            <w:szCs w:val="24"/>
          </w:rPr>
          <w:t xml:space="preserve">and </w:t>
        </w:r>
        <w:r w:rsidRPr="005E021A">
          <w:rPr>
            <w:rStyle w:val="Hyperlink"/>
            <w:rFonts w:ascii="Arial" w:hAnsi="Arial" w:cs="Arial"/>
            <w:sz w:val="24"/>
            <w:szCs w:val="24"/>
          </w:rPr>
          <w:t xml:space="preserve">Healthcare </w:t>
        </w:r>
        <w:r w:rsidR="00DF4D17" w:rsidRPr="005E021A">
          <w:rPr>
            <w:rStyle w:val="Hyperlink"/>
            <w:rFonts w:ascii="Arial" w:hAnsi="Arial" w:cs="Arial"/>
            <w:sz w:val="24"/>
            <w:szCs w:val="24"/>
          </w:rPr>
          <w:t>products</w:t>
        </w:r>
        <w:r w:rsidRPr="005E021A">
          <w:rPr>
            <w:rStyle w:val="Hyperlink"/>
            <w:rFonts w:ascii="Arial" w:hAnsi="Arial" w:cs="Arial"/>
            <w:sz w:val="24"/>
            <w:szCs w:val="24"/>
          </w:rPr>
          <w:t xml:space="preserve"> Regulatory </w:t>
        </w:r>
        <w:r w:rsidR="00DF4D17" w:rsidRPr="005E021A">
          <w:rPr>
            <w:rStyle w:val="Hyperlink"/>
            <w:rFonts w:ascii="Arial" w:hAnsi="Arial" w:cs="Arial"/>
            <w:sz w:val="24"/>
            <w:szCs w:val="24"/>
          </w:rPr>
          <w:t>Agency</w:t>
        </w:r>
        <w:r w:rsidRPr="005E021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DF4D17" w:rsidRPr="005E021A">
          <w:rPr>
            <w:rStyle w:val="Hyperlink"/>
            <w:rFonts w:ascii="Arial" w:hAnsi="Arial" w:cs="Arial"/>
            <w:sz w:val="24"/>
            <w:szCs w:val="24"/>
          </w:rPr>
          <w:t>(MHRA)</w:t>
        </w:r>
      </w:hyperlink>
      <w:r w:rsidR="00DF4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842EC0">
        <w:rPr>
          <w:rFonts w:ascii="Arial" w:hAnsi="Arial" w:cs="Arial"/>
          <w:sz w:val="24"/>
          <w:szCs w:val="24"/>
        </w:rPr>
        <w:t xml:space="preserve">the </w:t>
      </w:r>
      <w:hyperlink r:id="rId7" w:history="1">
        <w:r w:rsidR="00053E3C" w:rsidRPr="00637BAF">
          <w:rPr>
            <w:rStyle w:val="Hyperlink"/>
            <w:rFonts w:ascii="Arial" w:hAnsi="Arial" w:cs="Arial"/>
            <w:sz w:val="24"/>
            <w:szCs w:val="24"/>
          </w:rPr>
          <w:t xml:space="preserve">European </w:t>
        </w:r>
        <w:r w:rsidRPr="00637BAF">
          <w:rPr>
            <w:rStyle w:val="Hyperlink"/>
            <w:rFonts w:ascii="Arial" w:hAnsi="Arial" w:cs="Arial"/>
            <w:sz w:val="24"/>
            <w:szCs w:val="24"/>
          </w:rPr>
          <w:t>Medicines Agency</w:t>
        </w:r>
        <w:r w:rsidR="00053E3C" w:rsidRPr="00637BA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DF4D17" w:rsidRPr="00637BAF">
          <w:rPr>
            <w:rStyle w:val="Hyperlink"/>
            <w:rFonts w:ascii="Arial" w:hAnsi="Arial" w:cs="Arial"/>
            <w:sz w:val="24"/>
            <w:szCs w:val="24"/>
          </w:rPr>
          <w:t>(EMA)</w:t>
        </w:r>
      </w:hyperlink>
      <w:r w:rsidR="00DF4D17">
        <w:rPr>
          <w:rFonts w:ascii="Arial" w:hAnsi="Arial" w:cs="Arial"/>
          <w:sz w:val="24"/>
          <w:szCs w:val="24"/>
        </w:rPr>
        <w:t xml:space="preserve"> </w:t>
      </w:r>
      <w:r w:rsidR="00842EC0" w:rsidRPr="00B60238">
        <w:rPr>
          <w:rFonts w:ascii="Arial" w:hAnsi="Arial" w:cs="Arial"/>
          <w:sz w:val="24"/>
          <w:szCs w:val="24"/>
        </w:rPr>
        <w:t xml:space="preserve">following reports of blood clots in a </w:t>
      </w:r>
      <w:r w:rsidR="00842EC0">
        <w:rPr>
          <w:rFonts w:ascii="Arial" w:hAnsi="Arial" w:cs="Arial"/>
          <w:sz w:val="24"/>
          <w:szCs w:val="24"/>
        </w:rPr>
        <w:t>small number of</w:t>
      </w:r>
      <w:r w:rsidR="00842EC0" w:rsidRPr="00B60238">
        <w:rPr>
          <w:rFonts w:ascii="Arial" w:hAnsi="Arial" w:cs="Arial"/>
          <w:sz w:val="24"/>
          <w:szCs w:val="24"/>
        </w:rPr>
        <w:t xml:space="preserve"> people who had recently had the vaccine. </w:t>
      </w:r>
      <w:r w:rsidR="00842EC0">
        <w:rPr>
          <w:rFonts w:ascii="Arial" w:hAnsi="Arial" w:cs="Arial"/>
          <w:sz w:val="24"/>
          <w:szCs w:val="24"/>
        </w:rPr>
        <w:t xml:space="preserve">However, </w:t>
      </w:r>
      <w:r w:rsidR="00DF4D17">
        <w:rPr>
          <w:rFonts w:ascii="Arial" w:hAnsi="Arial" w:cs="Arial"/>
          <w:sz w:val="24"/>
          <w:szCs w:val="24"/>
        </w:rPr>
        <w:t xml:space="preserve">both agencies, along with the </w:t>
      </w:r>
      <w:r w:rsidR="00842EC0">
        <w:rPr>
          <w:rFonts w:ascii="Arial" w:hAnsi="Arial" w:cs="Arial"/>
          <w:sz w:val="24"/>
          <w:szCs w:val="24"/>
        </w:rPr>
        <w:t>World Health Organisation</w:t>
      </w:r>
      <w:r w:rsidR="00DF4D17">
        <w:rPr>
          <w:rFonts w:ascii="Arial" w:hAnsi="Arial" w:cs="Arial"/>
          <w:sz w:val="24"/>
          <w:szCs w:val="24"/>
        </w:rPr>
        <w:t>,</w:t>
      </w:r>
      <w:r w:rsidR="00842EC0">
        <w:rPr>
          <w:rFonts w:ascii="Arial" w:hAnsi="Arial" w:cs="Arial"/>
          <w:sz w:val="24"/>
          <w:szCs w:val="24"/>
        </w:rPr>
        <w:t xml:space="preserve"> had stressed </w:t>
      </w:r>
      <w:r w:rsidR="00943E1A">
        <w:rPr>
          <w:rFonts w:ascii="Arial" w:hAnsi="Arial" w:cs="Arial"/>
          <w:sz w:val="24"/>
          <w:szCs w:val="24"/>
        </w:rPr>
        <w:t xml:space="preserve">from the outset </w:t>
      </w:r>
      <w:r w:rsidR="00842EC0">
        <w:rPr>
          <w:rFonts w:ascii="Arial" w:hAnsi="Arial" w:cs="Arial"/>
          <w:sz w:val="24"/>
          <w:szCs w:val="24"/>
        </w:rPr>
        <w:t xml:space="preserve">that there was no evidence to suggest </w:t>
      </w:r>
      <w:r w:rsidR="00CB523B" w:rsidRPr="00CB523B">
        <w:rPr>
          <w:rFonts w:ascii="Arial" w:hAnsi="Arial" w:cs="Arial"/>
          <w:sz w:val="24"/>
          <w:szCs w:val="24"/>
        </w:rPr>
        <w:t xml:space="preserve">the blood clots have been caused by the vaccine </w:t>
      </w:r>
      <w:r w:rsidR="00842EC0">
        <w:rPr>
          <w:rFonts w:ascii="Arial" w:hAnsi="Arial" w:cs="Arial"/>
          <w:sz w:val="24"/>
          <w:szCs w:val="24"/>
        </w:rPr>
        <w:t xml:space="preserve">and that it was safe to continue using </w:t>
      </w:r>
      <w:r w:rsidR="00943E1A">
        <w:rPr>
          <w:rFonts w:ascii="Arial" w:hAnsi="Arial" w:cs="Arial"/>
          <w:sz w:val="24"/>
          <w:szCs w:val="24"/>
        </w:rPr>
        <w:t>it while the review</w:t>
      </w:r>
      <w:r w:rsidR="00DF4D17">
        <w:rPr>
          <w:rFonts w:ascii="Arial" w:hAnsi="Arial" w:cs="Arial"/>
          <w:sz w:val="24"/>
          <w:szCs w:val="24"/>
        </w:rPr>
        <w:t>s were</w:t>
      </w:r>
      <w:r w:rsidR="00943E1A">
        <w:rPr>
          <w:rFonts w:ascii="Arial" w:hAnsi="Arial" w:cs="Arial"/>
          <w:sz w:val="24"/>
          <w:szCs w:val="24"/>
        </w:rPr>
        <w:t xml:space="preserve"> carried out</w:t>
      </w:r>
      <w:r w:rsidR="00842EC0">
        <w:rPr>
          <w:rFonts w:ascii="Arial" w:hAnsi="Arial" w:cs="Arial"/>
          <w:sz w:val="24"/>
          <w:szCs w:val="24"/>
        </w:rPr>
        <w:t>.</w:t>
      </w:r>
      <w:r w:rsidR="00CB523B" w:rsidRPr="00CB523B">
        <w:rPr>
          <w:rFonts w:ascii="Arial" w:hAnsi="Arial" w:cs="Arial"/>
          <w:sz w:val="24"/>
          <w:szCs w:val="24"/>
        </w:rPr>
        <w:t xml:space="preserve"> </w:t>
      </w:r>
    </w:p>
    <w:p w14:paraId="1515DCDE" w14:textId="77777777" w:rsidR="009614FF" w:rsidRDefault="009614FF" w:rsidP="00B6023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9856F09" w14:textId="2C954571" w:rsidR="00995F33" w:rsidRPr="00995F33" w:rsidRDefault="00053E3C" w:rsidP="00995F33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6D1CCE">
        <w:rPr>
          <w:rFonts w:ascii="Arial" w:hAnsi="Arial" w:cs="Arial"/>
        </w:rPr>
        <w:t xml:space="preserve">eir findings reflected those of </w:t>
      </w:r>
      <w:r w:rsidR="00CB287F">
        <w:rPr>
          <w:rFonts w:ascii="Arial" w:hAnsi="Arial" w:cs="Arial"/>
        </w:rPr>
        <w:t xml:space="preserve">AstraZeneca’s own review </w:t>
      </w:r>
      <w:r w:rsidR="49C3D57C" w:rsidRPr="49C3D57C">
        <w:rPr>
          <w:rFonts w:ascii="Arial" w:eastAsia="Times New Roman" w:hAnsi="Arial" w:cs="Arial"/>
        </w:rPr>
        <w:t xml:space="preserve">of </w:t>
      </w:r>
      <w:r w:rsidR="00CB287F">
        <w:rPr>
          <w:rFonts w:ascii="Arial" w:eastAsia="Times New Roman" w:hAnsi="Arial" w:cs="Arial"/>
        </w:rPr>
        <w:t xml:space="preserve">data from </w:t>
      </w:r>
      <w:r w:rsidR="49C3D57C" w:rsidRPr="49C3D57C">
        <w:rPr>
          <w:rFonts w:ascii="Helvetica Neue" w:hAnsi="Helvetica Neue" w:cs="Times New Roman"/>
        </w:rPr>
        <w:t xml:space="preserve">more than 17 million people vaccinated in the </w:t>
      </w:r>
      <w:r w:rsidR="006D1CCE">
        <w:rPr>
          <w:rFonts w:ascii="Helvetica Neue" w:hAnsi="Helvetica Neue" w:cs="Times New Roman"/>
        </w:rPr>
        <w:t xml:space="preserve">UK and European Union. This showed that there had been 37 reports of blood clots, which is fewer than would be expected to occur naturally in this number of people. </w:t>
      </w:r>
      <w:r w:rsidR="008F6361">
        <w:rPr>
          <w:rFonts w:ascii="Helvetica Neue" w:hAnsi="Helvetica Neue" w:cs="Times New Roman"/>
        </w:rPr>
        <w:t xml:space="preserve">The MHRA review also looked at data for the Pfizer BioNTech vaccine and confirmed there was no link to either vaccine </w:t>
      </w:r>
      <w:proofErr w:type="gramStart"/>
      <w:r w:rsidR="008F6361">
        <w:rPr>
          <w:rFonts w:ascii="Helvetica Neue" w:hAnsi="Helvetica Neue" w:cs="Times New Roman"/>
        </w:rPr>
        <w:t>causing  blood</w:t>
      </w:r>
      <w:proofErr w:type="gramEnd"/>
      <w:r w:rsidR="008F6361">
        <w:rPr>
          <w:rFonts w:ascii="Helvetica Neue" w:hAnsi="Helvetica Neue" w:cs="Times New Roman"/>
        </w:rPr>
        <w:t xml:space="preserve"> clots.</w:t>
      </w:r>
    </w:p>
    <w:p w14:paraId="3C67D759" w14:textId="77777777" w:rsidR="00C54C12" w:rsidRPr="00122A03" w:rsidRDefault="00C54C12" w:rsidP="00C54C12">
      <w:pPr>
        <w:textAlignment w:val="baseline"/>
        <w:rPr>
          <w:rFonts w:ascii="Arial" w:hAnsi="Arial" w:cs="Arial"/>
        </w:rPr>
      </w:pPr>
    </w:p>
    <w:p w14:paraId="408479EC" w14:textId="18477926" w:rsidR="00053E3C" w:rsidRDefault="008C5393" w:rsidP="49C3D57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21</w:t>
      </w:r>
      <w:r w:rsidR="49C3D57C" w:rsidRPr="49C3D57C">
        <w:rPr>
          <w:rFonts w:ascii="Arial" w:hAnsi="Arial" w:cs="Arial"/>
          <w:sz w:val="24"/>
          <w:szCs w:val="24"/>
        </w:rPr>
        <w:t xml:space="preserve"> million people </w:t>
      </w:r>
      <w:r w:rsidR="49C3D57C" w:rsidRPr="008C5393">
        <w:rPr>
          <w:rFonts w:ascii="Arial" w:hAnsi="Arial" w:cs="Arial"/>
          <w:sz w:val="24"/>
          <w:szCs w:val="24"/>
        </w:rPr>
        <w:t>in England</w:t>
      </w:r>
      <w:r w:rsidR="49C3D57C" w:rsidRPr="49C3D57C">
        <w:rPr>
          <w:rFonts w:ascii="Arial" w:hAnsi="Arial" w:cs="Arial"/>
          <w:sz w:val="24"/>
          <w:szCs w:val="24"/>
        </w:rPr>
        <w:t xml:space="preserve"> have </w:t>
      </w:r>
      <w:r w:rsidR="00053E3C">
        <w:rPr>
          <w:rFonts w:ascii="Arial" w:hAnsi="Arial" w:cs="Arial"/>
          <w:sz w:val="24"/>
          <w:szCs w:val="24"/>
        </w:rPr>
        <w:t xml:space="preserve">now been vaccinated, with latest research showing that the vaccines are extremely effective at preventing serious illness and death from Covid-19. </w:t>
      </w:r>
    </w:p>
    <w:p w14:paraId="510A74F4" w14:textId="77777777" w:rsidR="00DE405E" w:rsidRDefault="00DE405E" w:rsidP="49C3D57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DF47D6" w14:textId="62EB8931" w:rsidR="00BB5290" w:rsidRPr="004562C4" w:rsidRDefault="00DE405E" w:rsidP="49C3D57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vaccines are </w:t>
      </w:r>
      <w:r w:rsidR="49C3D57C" w:rsidRPr="49C3D57C">
        <w:rPr>
          <w:rFonts w:ascii="Arial" w:hAnsi="Arial" w:cs="Arial"/>
          <w:sz w:val="24"/>
          <w:szCs w:val="24"/>
        </w:rPr>
        <w:t>the only protection</w:t>
      </w:r>
      <w:r w:rsidR="49C3D57C" w:rsidRPr="49C3D57C">
        <w:rPr>
          <w:rFonts w:ascii="Arial" w:hAnsi="Arial" w:cs="Arial"/>
          <w:color w:val="0B0C0C"/>
          <w:sz w:val="24"/>
          <w:szCs w:val="24"/>
        </w:rPr>
        <w:t xml:space="preserve"> available against the serious illness caused by Covid-19, which has sadly </w:t>
      </w:r>
      <w:r w:rsidR="00657C92">
        <w:rPr>
          <w:rFonts w:ascii="Arial" w:hAnsi="Arial" w:cs="Arial"/>
          <w:color w:val="0B0C0C"/>
          <w:sz w:val="24"/>
          <w:szCs w:val="24"/>
        </w:rPr>
        <w:t>led to</w:t>
      </w:r>
      <w:r w:rsidR="49C3D57C" w:rsidRPr="49C3D57C">
        <w:rPr>
          <w:rFonts w:ascii="Arial" w:hAnsi="Arial" w:cs="Arial"/>
          <w:color w:val="0B0C0C"/>
          <w:sz w:val="24"/>
          <w:szCs w:val="24"/>
        </w:rPr>
        <w:t xml:space="preserve"> the death of millions of people around the world</w:t>
      </w:r>
      <w:r>
        <w:rPr>
          <w:rFonts w:ascii="Arial" w:hAnsi="Arial" w:cs="Arial"/>
          <w:color w:val="0B0C0C"/>
          <w:sz w:val="24"/>
          <w:szCs w:val="24"/>
        </w:rPr>
        <w:t>. P</w:t>
      </w:r>
      <w:r w:rsidR="49C3D57C" w:rsidRPr="49C3D57C">
        <w:rPr>
          <w:rFonts w:ascii="Arial" w:hAnsi="Arial" w:cs="Arial"/>
          <w:color w:val="0B0C0C"/>
          <w:sz w:val="24"/>
          <w:szCs w:val="24"/>
        </w:rPr>
        <w:t>eople will continue to be at risk from the disease if they do not take up the offer of a vaccine</w:t>
      </w:r>
      <w:r>
        <w:rPr>
          <w:rFonts w:ascii="Arial" w:hAnsi="Arial" w:cs="Arial"/>
          <w:color w:val="0B0C0C"/>
          <w:sz w:val="24"/>
          <w:szCs w:val="24"/>
        </w:rPr>
        <w:t xml:space="preserve"> so it is very important to have yours when you are invited.</w:t>
      </w:r>
    </w:p>
    <w:p w14:paraId="151964CA" w14:textId="77777777" w:rsidR="005E021A" w:rsidRDefault="005E021A" w:rsidP="002E2C5D">
      <w:pPr>
        <w:rPr>
          <w:rFonts w:ascii="Arial" w:eastAsia="Times New Roman" w:hAnsi="Arial" w:cs="Arial"/>
          <w:color w:val="3C4245"/>
        </w:rPr>
      </w:pPr>
    </w:p>
    <w:p w14:paraId="5326ECA9" w14:textId="0584CC97" w:rsidR="00842EC0" w:rsidRPr="006D1CCE" w:rsidRDefault="00842EC0" w:rsidP="006D1CCE">
      <w:pPr>
        <w:pStyle w:val="xxxmsonormal"/>
        <w:spacing w:before="0" w:beforeAutospacing="0" w:after="0" w:afterAutospacing="0" w:line="253" w:lineRule="atLeast"/>
        <w:rPr>
          <w:rFonts w:ascii="Arial" w:hAnsi="Arial" w:cs="Arial"/>
          <w:color w:val="201F1E"/>
          <w:sz w:val="24"/>
          <w:szCs w:val="24"/>
        </w:rPr>
      </w:pPr>
      <w:r w:rsidRPr="006D1CCE">
        <w:rPr>
          <w:rFonts w:ascii="Arial" w:hAnsi="Arial" w:cs="Arial"/>
          <w:color w:val="201F1E"/>
          <w:sz w:val="24"/>
          <w:szCs w:val="24"/>
          <w:bdr w:val="none" w:sz="0" w:space="0" w:color="auto" w:frame="1"/>
        </w:rPr>
        <w:t> </w:t>
      </w:r>
    </w:p>
    <w:p w14:paraId="3321B4E4" w14:textId="08FB6782" w:rsidR="00E77907" w:rsidRPr="00842EC0" w:rsidRDefault="00842EC0" w:rsidP="00842EC0">
      <w:pPr>
        <w:pStyle w:val="xxmsonormal"/>
        <w:spacing w:before="0" w:beforeAutospacing="0" w:after="0" w:afterAutospacing="0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> </w:t>
      </w:r>
    </w:p>
    <w:sectPr w:rsidR="00E77907" w:rsidRPr="00842EC0" w:rsidSect="00B05E35">
      <w:pgSz w:w="11900" w:h="16840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0CEF"/>
    <w:multiLevelType w:val="multilevel"/>
    <w:tmpl w:val="C54E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E1385"/>
    <w:multiLevelType w:val="multilevel"/>
    <w:tmpl w:val="EE5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E06CC"/>
    <w:multiLevelType w:val="multilevel"/>
    <w:tmpl w:val="F50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0BA"/>
    <w:rsid w:val="00005DAB"/>
    <w:rsid w:val="0004134C"/>
    <w:rsid w:val="00053E3C"/>
    <w:rsid w:val="000F255D"/>
    <w:rsid w:val="00122A03"/>
    <w:rsid w:val="00141BBC"/>
    <w:rsid w:val="00267BA9"/>
    <w:rsid w:val="002C31A0"/>
    <w:rsid w:val="002E2929"/>
    <w:rsid w:val="002E2C5D"/>
    <w:rsid w:val="00316C7F"/>
    <w:rsid w:val="00317C5D"/>
    <w:rsid w:val="00415EBD"/>
    <w:rsid w:val="00432242"/>
    <w:rsid w:val="0043755C"/>
    <w:rsid w:val="00442A2A"/>
    <w:rsid w:val="004562C4"/>
    <w:rsid w:val="004C530A"/>
    <w:rsid w:val="00507094"/>
    <w:rsid w:val="005E021A"/>
    <w:rsid w:val="005E319F"/>
    <w:rsid w:val="006360FF"/>
    <w:rsid w:val="00636BFF"/>
    <w:rsid w:val="00637BAF"/>
    <w:rsid w:val="00657C92"/>
    <w:rsid w:val="006D1CCE"/>
    <w:rsid w:val="006D7707"/>
    <w:rsid w:val="006E57AF"/>
    <w:rsid w:val="006F2CE4"/>
    <w:rsid w:val="006F6B55"/>
    <w:rsid w:val="0075192B"/>
    <w:rsid w:val="0077692F"/>
    <w:rsid w:val="007B20BA"/>
    <w:rsid w:val="007D6386"/>
    <w:rsid w:val="0080592F"/>
    <w:rsid w:val="00842EC0"/>
    <w:rsid w:val="008C4200"/>
    <w:rsid w:val="008C5393"/>
    <w:rsid w:val="008F6361"/>
    <w:rsid w:val="009040D0"/>
    <w:rsid w:val="00943E1A"/>
    <w:rsid w:val="009548D9"/>
    <w:rsid w:val="009614FF"/>
    <w:rsid w:val="00995F33"/>
    <w:rsid w:val="00B05E35"/>
    <w:rsid w:val="00B60238"/>
    <w:rsid w:val="00BA74F0"/>
    <w:rsid w:val="00BB5290"/>
    <w:rsid w:val="00C54C12"/>
    <w:rsid w:val="00C559CE"/>
    <w:rsid w:val="00C928C9"/>
    <w:rsid w:val="00CB287F"/>
    <w:rsid w:val="00CB523B"/>
    <w:rsid w:val="00CF6EC4"/>
    <w:rsid w:val="00DE405E"/>
    <w:rsid w:val="00DF4D17"/>
    <w:rsid w:val="00E77907"/>
    <w:rsid w:val="00E91E8F"/>
    <w:rsid w:val="00EB13C0"/>
    <w:rsid w:val="00ED5CFC"/>
    <w:rsid w:val="00EF62D0"/>
    <w:rsid w:val="00F40D70"/>
    <w:rsid w:val="00FF19E8"/>
    <w:rsid w:val="49C3D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7997C"/>
  <w14:defaultImageDpi w14:val="300"/>
  <w15:docId w15:val="{D77E80ED-79E4-49D5-9396-B6DA23C3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3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20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20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B20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last-child">
    <w:name w:val="last-child"/>
    <w:basedOn w:val="Normal"/>
    <w:rsid w:val="007B20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B20BA"/>
  </w:style>
  <w:style w:type="character" w:styleId="Hyperlink">
    <w:name w:val="Hyperlink"/>
    <w:basedOn w:val="DefaultParagraphFont"/>
    <w:uiPriority w:val="99"/>
    <w:unhideWhenUsed/>
    <w:rsid w:val="007B2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3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gem-c-lead-paragraph">
    <w:name w:val="gem-c-lead-paragraph"/>
    <w:basedOn w:val="Normal"/>
    <w:rsid w:val="000413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hzxw">
    <w:name w:val="_1hzxw"/>
    <w:basedOn w:val="Normal"/>
    <w:rsid w:val="00CB52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-paragraph-2bgue">
    <w:name w:val="paragraph-paragraph-2bgue"/>
    <w:basedOn w:val="Normal"/>
    <w:rsid w:val="00E779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0D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86"/>
    <w:rPr>
      <w:rFonts w:ascii="Lucida Grande" w:hAnsi="Lucida Grande" w:cs="Lucida Grande"/>
      <w:sz w:val="18"/>
      <w:szCs w:val="18"/>
    </w:rPr>
  </w:style>
  <w:style w:type="paragraph" w:customStyle="1" w:styleId="xxxmsonormal">
    <w:name w:val="x_x_x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xmsonormal">
    <w:name w:val="x_x_msonormal"/>
    <w:basedOn w:val="Normal"/>
    <w:rsid w:val="00842EC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8153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0041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840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9651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935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a.europa.eu/en/news/investigation-covid-19-vaccine-astrazeneca-thromboembolic-events-contin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uk-regulator-confirms-that-people-should-continue-to-receive-the-covid-19-vaccine-astrazene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Nossiter</dc:creator>
  <cp:lastModifiedBy>Sam Gledhill</cp:lastModifiedBy>
  <cp:revision>2</cp:revision>
  <dcterms:created xsi:type="dcterms:W3CDTF">2021-03-22T11:07:00Z</dcterms:created>
  <dcterms:modified xsi:type="dcterms:W3CDTF">2021-03-22T11:07:00Z</dcterms:modified>
</cp:coreProperties>
</file>